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B9" w:rsidRDefault="000C50B9" w:rsidP="000C50B9">
      <w:pPr>
        <w:shd w:val="clear" w:color="auto" w:fill="FFFFFF"/>
        <w:spacing w:after="0" w:line="324" w:lineRule="atLeast"/>
        <w:textAlignment w:val="baseline"/>
        <w:outlineLvl w:val="1"/>
        <w:rPr>
          <w:rFonts w:ascii="Arial" w:eastAsia="Times New Roman" w:hAnsi="Arial" w:cs="Arial"/>
          <w:color w:val="555555"/>
          <w:sz w:val="60"/>
          <w:szCs w:val="60"/>
          <w:lang w:eastAsia="ru-RU"/>
        </w:rPr>
      </w:pPr>
      <w:r w:rsidRPr="000C50B9">
        <w:rPr>
          <w:rFonts w:ascii="Arial" w:eastAsia="Times New Roman" w:hAnsi="Arial" w:cs="Arial"/>
          <w:color w:val="555555"/>
          <w:sz w:val="60"/>
          <w:szCs w:val="60"/>
          <w:lang w:eastAsia="ru-RU"/>
        </w:rPr>
        <w:t xml:space="preserve">Международные коды в стандарте IP пыле- и </w:t>
      </w:r>
      <w:proofErr w:type="spellStart"/>
      <w:r w:rsidRPr="000C50B9">
        <w:rPr>
          <w:rFonts w:ascii="Arial" w:eastAsia="Times New Roman" w:hAnsi="Arial" w:cs="Arial"/>
          <w:color w:val="555555"/>
          <w:sz w:val="60"/>
          <w:szCs w:val="60"/>
          <w:lang w:eastAsia="ru-RU"/>
        </w:rPr>
        <w:t>водозащиты</w:t>
      </w:r>
      <w:proofErr w:type="spellEnd"/>
    </w:p>
    <w:p w:rsidR="000C50B9" w:rsidRPr="000C50B9" w:rsidRDefault="000C50B9" w:rsidP="000C50B9">
      <w:pPr>
        <w:shd w:val="clear" w:color="auto" w:fill="FFFFFF"/>
        <w:spacing w:after="0" w:line="324" w:lineRule="atLeast"/>
        <w:textAlignment w:val="baseline"/>
        <w:outlineLvl w:val="1"/>
        <w:rPr>
          <w:rFonts w:ascii="Arial" w:eastAsia="Times New Roman" w:hAnsi="Arial" w:cs="Arial"/>
          <w:color w:val="555555"/>
          <w:sz w:val="60"/>
          <w:szCs w:val="60"/>
          <w:lang w:eastAsia="ru-RU"/>
        </w:rPr>
      </w:pPr>
    </w:p>
    <w:p w:rsidR="000C50B9" w:rsidRPr="000C50B9" w:rsidRDefault="000C50B9" w:rsidP="000C50B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C50B9">
        <w:rPr>
          <w:rFonts w:ascii="Tahoma" w:eastAsia="Times New Roman" w:hAnsi="Tahoma" w:cs="Tahoma"/>
          <w:color w:val="555555"/>
          <w:sz w:val="24"/>
          <w:szCs w:val="24"/>
          <w:bdr w:val="none" w:sz="0" w:space="0" w:color="auto" w:frame="1"/>
          <w:lang w:eastAsia="ru-RU"/>
        </w:rPr>
        <w:t>Чтобы охарактеризовать допустимые условия эксплуатации конкретного электротехнического оборудования, для него устанавливается т.н. класс защиты IP (</w:t>
      </w:r>
      <w:proofErr w:type="spellStart"/>
      <w:r w:rsidRPr="000C50B9">
        <w:rPr>
          <w:rFonts w:ascii="Tahoma" w:eastAsia="Times New Roman" w:hAnsi="Tahoma" w:cs="Tahoma"/>
          <w:color w:val="555555"/>
          <w:sz w:val="24"/>
          <w:szCs w:val="24"/>
          <w:bdr w:val="none" w:sz="0" w:space="0" w:color="auto" w:frame="1"/>
          <w:lang w:eastAsia="ru-RU"/>
        </w:rPr>
        <w:t>International</w:t>
      </w:r>
      <w:proofErr w:type="spellEnd"/>
      <w:r w:rsidRPr="000C50B9">
        <w:rPr>
          <w:rFonts w:ascii="Tahoma" w:eastAsia="Times New Roman" w:hAnsi="Tahoma" w:cs="Tahoma"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50B9">
        <w:rPr>
          <w:rFonts w:ascii="Tahoma" w:eastAsia="Times New Roman" w:hAnsi="Tahoma" w:cs="Tahoma"/>
          <w:color w:val="555555"/>
          <w:sz w:val="24"/>
          <w:szCs w:val="24"/>
          <w:bdr w:val="none" w:sz="0" w:space="0" w:color="auto" w:frame="1"/>
          <w:lang w:eastAsia="ru-RU"/>
        </w:rPr>
        <w:t>Protect</w:t>
      </w:r>
      <w:proofErr w:type="spellEnd"/>
      <w:r w:rsidRPr="000C50B9">
        <w:rPr>
          <w:rFonts w:ascii="Tahoma" w:eastAsia="Times New Roman" w:hAnsi="Tahoma" w:cs="Tahoma"/>
          <w:color w:val="555555"/>
          <w:sz w:val="24"/>
          <w:szCs w:val="24"/>
          <w:bdr w:val="none" w:sz="0" w:space="0" w:color="auto" w:frame="1"/>
          <w:lang w:eastAsia="ru-RU"/>
        </w:rPr>
        <w:t>). Он кодируется двухзначным (или трехзначным) числом, каждая из цифр которого указывает (по условленной шкале) степень допустимого внешнего воздействия на данное изделие. Название норматива имеет вид IP XY, где первая цифра X указывает степень защиты от пыли и поражения электрическим током, а вторая Y — от воды.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EE3E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4"/>
        <w:gridCol w:w="4388"/>
        <w:gridCol w:w="4388"/>
      </w:tblGrid>
      <w:tr w:rsidR="000C50B9" w:rsidRPr="000C50B9" w:rsidTr="000C50B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Первая цифра</w:t>
            </w:r>
          </w:p>
        </w:tc>
      </w:tr>
      <w:tr w:rsidR="000C50B9" w:rsidRPr="000C50B9" w:rsidTr="000C50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Электрический ток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Никакой защиты — открытая конструкция</w:t>
            </w:r>
          </w:p>
        </w:tc>
      </w:tr>
      <w:tr w:rsidR="000C50B9" w:rsidRPr="000C50B9" w:rsidTr="000C50B9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Защита конструкции от проникновения внутрь крупных предметов размером более 50 мм — защита от крупных предметов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Частичная защита от случайного касания токоведущих частей человеком (ладонью)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Защита от проникновения в конструкцию предметов размером более 12 мм — защита от предметов среднего размера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Защита от проникновения пальцами к токоведущим частям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 конструкцию не могут попасть предметы размером более 2,5 мм — защита от мелких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Конструкция защищает от случайного касания токоведущих частей пальцами или инструментом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Конструкция не допускает проникновения внутрь предметов размером более 1 мм — защита от песка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Защита персонала от прикосновения к токоведущим частям пальцами или инструментом</w:t>
            </w:r>
          </w:p>
        </w:tc>
        <w:bookmarkStart w:id="0" w:name="_GoBack"/>
        <w:bookmarkEnd w:id="0"/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Пыль может проникнуть внутрь в незначительном количестве, не препятствующем нормальной работе — защита от накопления пыли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Полная защита от прикосновения к токоведущим частям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Никакая пыль не может проникать внутрь конструкции — полная защита от пыли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</w:p>
        </w:tc>
      </w:tr>
    </w:tbl>
    <w:p w:rsidR="000C50B9" w:rsidRPr="000C50B9" w:rsidRDefault="000C50B9" w:rsidP="000C50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C50B9">
        <w:rPr>
          <w:rFonts w:ascii="Tahoma" w:eastAsia="Times New Roman" w:hAnsi="Tahoma" w:cs="Tahoma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EE3E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5"/>
        <w:gridCol w:w="8775"/>
      </w:tblGrid>
      <w:tr w:rsidR="000C50B9" w:rsidRPr="000C50B9" w:rsidTr="000C50B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Вторая цифра</w:t>
            </w:r>
          </w:p>
        </w:tc>
      </w:tr>
      <w:tr w:rsidR="000C50B9" w:rsidRPr="000C50B9" w:rsidTr="000C50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Вода</w:t>
            </w:r>
          </w:p>
        </w:tc>
      </w:tr>
      <w:tr w:rsidR="000C50B9" w:rsidRPr="000C50B9" w:rsidTr="000C50B9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Нет защиты от брызг воды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Капли воды, падающие вертикально, не могут вызвать опасных последствий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Капли </w:t>
            </w:r>
            <w:proofErr w:type="spellStart"/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воды,падающие</w:t>
            </w:r>
            <w:proofErr w:type="spellEnd"/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под углом до 15°С, от вертикали, не вызывают опасных последствий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Капли </w:t>
            </w:r>
            <w:proofErr w:type="spellStart"/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воды,падающие</w:t>
            </w:r>
            <w:proofErr w:type="spellEnd"/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под углом до 60°С, от вертикали, не вызывают опасных последствий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Конструкция защищена от брызг </w:t>
            </w:r>
            <w:proofErr w:type="spellStart"/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воды,которые</w:t>
            </w:r>
            <w:proofErr w:type="spellEnd"/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могут быть направлены под любым углом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Струи воды, например из шланга, не причиняют вреда изделию — защита от струй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Залив водой, например на палубе корабля, не приводит к повреждению изделия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Изделие может быть без последствий полностью погружено в воду</w:t>
            </w:r>
          </w:p>
        </w:tc>
      </w:tr>
      <w:tr w:rsidR="000C50B9" w:rsidRPr="000C50B9" w:rsidTr="000C50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3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0B9" w:rsidRPr="000C50B9" w:rsidRDefault="000C50B9" w:rsidP="000C5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C50B9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Изделие выдерживает без последствий погружение в воду на определенную глубину — защита от погружения в воду под</w:t>
            </w:r>
            <w:r w:rsidRPr="000C50B9">
              <w:rPr>
                <w:rFonts w:ascii="Tahoma" w:eastAsia="Times New Roman" w:hAnsi="Tahoma" w:cs="Tahoma"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 давлением</w:t>
            </w:r>
          </w:p>
        </w:tc>
      </w:tr>
    </w:tbl>
    <w:p w:rsidR="00E36817" w:rsidRDefault="00E36817" w:rsidP="000C50B9"/>
    <w:sectPr w:rsidR="00E36817" w:rsidSect="000C50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C2CC7"/>
    <w:multiLevelType w:val="multilevel"/>
    <w:tmpl w:val="F644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B9"/>
    <w:rsid w:val="000C50B9"/>
    <w:rsid w:val="00E3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04B6"/>
  <w15:chartTrackingRefBased/>
  <w15:docId w15:val="{C48FC163-B7CA-4319-A871-FB5E3A10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5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0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50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5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Василец</dc:creator>
  <cp:keywords/>
  <dc:description/>
  <cp:lastModifiedBy>Наталия Василец</cp:lastModifiedBy>
  <cp:revision>1</cp:revision>
  <dcterms:created xsi:type="dcterms:W3CDTF">2019-03-27T13:37:00Z</dcterms:created>
  <dcterms:modified xsi:type="dcterms:W3CDTF">2019-03-27T13:38:00Z</dcterms:modified>
</cp:coreProperties>
</file>