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6" w:rsidRDefault="006F0396" w:rsidP="006F0396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color w:val="555555"/>
          <w:sz w:val="60"/>
          <w:szCs w:val="60"/>
          <w:lang w:eastAsia="ru-RU"/>
        </w:rPr>
      </w:pPr>
      <w:r w:rsidRPr="006F0396">
        <w:rPr>
          <w:rFonts w:ascii="Arial" w:eastAsia="Times New Roman" w:hAnsi="Arial" w:cs="Arial"/>
          <w:color w:val="555555"/>
          <w:sz w:val="60"/>
          <w:szCs w:val="60"/>
          <w:lang w:eastAsia="ru-RU"/>
        </w:rPr>
        <w:t>Основные параметры весов</w:t>
      </w:r>
    </w:p>
    <w:p w:rsidR="006F0396" w:rsidRPr="006F0396" w:rsidRDefault="006F0396" w:rsidP="006F0396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color w:val="555555"/>
          <w:sz w:val="60"/>
          <w:szCs w:val="60"/>
          <w:lang w:eastAsia="ru-RU"/>
        </w:rPr>
      </w:pP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Основные параметры весов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Наибольший предел взвешивания (НПВ)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верхняя граница предела взвешивания, определяющая наибольшую массу, измеряемую при одноразовом взвешивании.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Наименьший предел взвешивания (НМПВ)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нижняя граница предела взвешивания, определяется минимальным грузом, при одноразовом взвешивании которого относительная погрешность взвешивания не должна превышать допустимого значения.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Цена деления d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разность значений массы, соответствующих двум соседним отметкам шкалы весов с аналоговым отсчетным устройством, или значение массы, соответствующее дискретности отсчета цифровых весов.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Цена поверочного деления e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условная величина, выраженная в единицах массы, используемая при классификации весов и нормировании требований к ним.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Число поверочных делений n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значение НПВ/e.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Предельно допустимая погрешность измерений определяется ценой поверочного деления </w:t>
      </w: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e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. Обычно производитель весов гарантирует следующее соотношение: </w:t>
      </w: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d = e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. Чем ниже погрешность, тем выше точность измерений.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Классы точности весов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Согласно ДСТУ весы разделяют на 4 класса точности.</w:t>
      </w:r>
    </w:p>
    <w:p w:rsidR="006F0396" w:rsidRPr="006F0396" w:rsidRDefault="006F0396" w:rsidP="006F0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Названия и обозначения классов:</w:t>
      </w:r>
    </w:p>
    <w:p w:rsidR="006F0396" w:rsidRPr="006F0396" w:rsidRDefault="006F0396" w:rsidP="006F0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первый или специальный класс       I</w:t>
      </w:r>
    </w:p>
    <w:p w:rsidR="006F0396" w:rsidRPr="006F0396" w:rsidRDefault="006F0396" w:rsidP="006F0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второй или высокий класс               II</w:t>
      </w:r>
    </w:p>
    <w:p w:rsidR="006F0396" w:rsidRPr="006F0396" w:rsidRDefault="006F0396" w:rsidP="006F0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третий или средний класс               III</w:t>
      </w:r>
    </w:p>
    <w:p w:rsidR="006F0396" w:rsidRPr="006F0396" w:rsidRDefault="006F0396" w:rsidP="006F0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четвертый или обычный класс        IIII</w:t>
      </w:r>
      <w:bookmarkStart w:id="0" w:name="_GoBack"/>
      <w:bookmarkEnd w:id="0"/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br/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Погрешность весов в диапазоне измерений по абсолютному значению не должна превышать пределов допускаемой погрешности, приведенных в таблице (ГОСТ 24104-2001):</w:t>
      </w:r>
    </w:p>
    <w:tbl>
      <w:tblPr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12"/>
        <w:gridCol w:w="1961"/>
        <w:gridCol w:w="2027"/>
        <w:gridCol w:w="1588"/>
      </w:tblGrid>
      <w:tr w:rsidR="006F0396" w:rsidRPr="006F0396" w:rsidTr="006F039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Интервалы взвешивания для весов класса точности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Пределы допускаемой погрешности</w:t>
            </w:r>
          </w:p>
        </w:tc>
      </w:tr>
      <w:tr w:rsidR="006F0396" w:rsidRPr="006F0396" w:rsidTr="006F03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специального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высокого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 первичной поверке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 эксплуатации</w:t>
            </w:r>
          </w:p>
        </w:tc>
      </w:tr>
      <w:tr w:rsidR="006F0396" w:rsidRPr="006F0396" w:rsidTr="006F03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До 50000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До 5000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До 500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0,5e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1,0e</w:t>
            </w:r>
          </w:p>
        </w:tc>
      </w:tr>
      <w:tr w:rsidR="006F0396" w:rsidRPr="006F0396" w:rsidTr="006F03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Св. 50000 e до 200000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Св. 5000 e до 20000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Св. 500 e до 2000 e </w:t>
            </w:r>
            <w:proofErr w:type="spellStart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включ</w:t>
            </w:r>
            <w:proofErr w:type="spellEnd"/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1,0e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2,0e</w:t>
            </w:r>
          </w:p>
        </w:tc>
      </w:tr>
      <w:tr w:rsidR="006F0396" w:rsidRPr="006F0396" w:rsidTr="006F03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Св. 200000 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Св. 20000 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Св. 2000 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1,5e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396" w:rsidRPr="006F0396" w:rsidRDefault="006F0396" w:rsidP="006F039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F0396">
              <w:rPr>
                <w:rFonts w:ascii="Tahoma" w:eastAsia="Times New Roman" w:hAnsi="Tahoma" w:cs="Tahoma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± 3,0e</w:t>
            </w:r>
          </w:p>
        </w:tc>
      </w:tr>
    </w:tbl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Пылевлагозащита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IP (</w:t>
      </w: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International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Protection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, "</w:t>
      </w: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Ingress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")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 xml:space="preserve"> — степени защиты, обеспечиваемые оболочками (IEC 60529, DIN 40050, ГОСТ 14254-96). Обычно обозначается как "IP" и две цифры, первая - степень защиты людей от доступа к опасным частям электрооборудования и самого изделия от попадания внутрь посторонних твёрдых предметов (от 0 до 6), а вторая — степень его защиты от вредных воздействий в результате проникновения воды (от 0 до 8). "Защиту от пыли" имеют изделия с IP5X и выше. "Защиту от брызг" - изделия с IPX3 и выше, герметизацию - IPX7 и IPX8. Максимальная степень защиты электрооборудования по ГОСТ — IP68 (пыленепроницаемое и герметичное при длительном нахождении под слоем воды 15 см от верхней точки). Комбинация IP69K (есть только в DIN) - означает пыленепроницаемость и </w:t>
      </w:r>
      <w:proofErr w:type="spellStart"/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влагозащищённость</w:t>
      </w:r>
      <w:proofErr w:type="spellEnd"/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 xml:space="preserve"> при чистке струёй высокого давления или паром (но, вообще говоря, не гарантирует герметичность при нахождении в воде).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Взрывозащита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весов </w:t>
      </w: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Ex</w:t>
      </w:r>
      <w:proofErr w:type="spellEnd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Для использования весов в среде огне- и взрывоопасных смесей, на предприятиях нефтеперерабатывающей, химической, горнодобывающей, пищевой промышленностей весовое оборудование выполняется во взрывозащищенном исполнении. Наличие маркировки </w:t>
      </w:r>
      <w:proofErr w:type="spellStart"/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Ex</w:t>
      </w:r>
      <w:proofErr w:type="spellEnd"/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с последующими цифровыми обозначениями подразумевает, что в весах или другом оборудовании, которое находится во взрывоопасной среде, не может образоваться искра, способная вызвать взрыв или возгорание этой смеси.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Устройство выборки массы тары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устройство, позволяющее привести показания весов к нулю, когда тара помещается на грузоприемное устройство, с уменьшением </w:t>
      </w: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НПВ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на массу тары.</w:t>
      </w:r>
    </w:p>
    <w:p w:rsidR="006F0396" w:rsidRPr="006F0396" w:rsidRDefault="006F0396" w:rsidP="006F039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Устройство компенсации массы тары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 — устройство, позволяющее привести показания весов к нулю, когда тара помещается на грузоприемное устройство, без уменьшения </w:t>
      </w:r>
      <w:r w:rsidRPr="006F0396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НПВ</w:t>
      </w:r>
      <w:r w:rsidRPr="006F0396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lang w:eastAsia="ru-RU"/>
        </w:rPr>
        <w:t>.</w:t>
      </w:r>
    </w:p>
    <w:p w:rsidR="00E36817" w:rsidRDefault="00E36817"/>
    <w:sectPr w:rsidR="00E36817" w:rsidSect="006F03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FA4"/>
    <w:multiLevelType w:val="multilevel"/>
    <w:tmpl w:val="500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6"/>
    <w:rsid w:val="006F0396"/>
    <w:rsid w:val="00E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9A9F"/>
  <w15:chartTrackingRefBased/>
  <w15:docId w15:val="{BFA1BF1F-9F27-4204-A6E4-8AF6359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03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Василец</dc:creator>
  <cp:keywords/>
  <dc:description/>
  <cp:lastModifiedBy>Наталия Василец</cp:lastModifiedBy>
  <cp:revision>1</cp:revision>
  <dcterms:created xsi:type="dcterms:W3CDTF">2019-03-27T13:34:00Z</dcterms:created>
  <dcterms:modified xsi:type="dcterms:W3CDTF">2019-03-27T13:36:00Z</dcterms:modified>
</cp:coreProperties>
</file>